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6FE98" w14:textId="2FF381E1" w:rsidR="006C6E31" w:rsidRDefault="006C6E31" w:rsidP="006C6E31">
      <w:pPr>
        <w:spacing w:after="0" w:line="240" w:lineRule="auto"/>
        <w:ind w:left="0" w:right="241" w:firstLine="0"/>
        <w:rPr>
          <w:b/>
          <w:sz w:val="24"/>
          <w:szCs w:val="24"/>
        </w:rPr>
      </w:pPr>
      <w:r w:rsidRPr="006C6E31">
        <w:rPr>
          <w:b/>
          <w:sz w:val="24"/>
          <w:szCs w:val="24"/>
        </w:rPr>
        <w:t>LA CIUDADANA ALEJANDR</w:t>
      </w:r>
      <w:r>
        <w:rPr>
          <w:b/>
          <w:sz w:val="24"/>
          <w:szCs w:val="24"/>
        </w:rPr>
        <w:t>A</w:t>
      </w:r>
      <w:r w:rsidRPr="006C6E31">
        <w:rPr>
          <w:b/>
          <w:sz w:val="24"/>
          <w:szCs w:val="24"/>
        </w:rPr>
        <w:t xml:space="preserve"> GUTIÉRREZ CAMPOS PRESIDENT</w:t>
      </w:r>
      <w:r>
        <w:rPr>
          <w:b/>
          <w:sz w:val="24"/>
          <w:szCs w:val="24"/>
        </w:rPr>
        <w:t>A</w:t>
      </w:r>
      <w:r w:rsidRPr="006C6E31">
        <w:rPr>
          <w:b/>
          <w:sz w:val="24"/>
          <w:szCs w:val="24"/>
        </w:rPr>
        <w:t xml:space="preserve"> MUNICIPAL DE LEÓN</w:t>
      </w:r>
      <w:r>
        <w:rPr>
          <w:b/>
          <w:sz w:val="24"/>
          <w:szCs w:val="24"/>
        </w:rPr>
        <w:t>,</w:t>
      </w:r>
      <w:r w:rsidRPr="006C6E31">
        <w:rPr>
          <w:b/>
          <w:sz w:val="24"/>
          <w:szCs w:val="24"/>
        </w:rPr>
        <w:t xml:space="preserve"> ESTADO DE GUANAJUATO</w:t>
      </w:r>
      <w:r>
        <w:rPr>
          <w:b/>
          <w:sz w:val="24"/>
          <w:szCs w:val="24"/>
        </w:rPr>
        <w:t>,</w:t>
      </w:r>
      <w:r w:rsidRPr="006C6E31">
        <w:rPr>
          <w:b/>
          <w:sz w:val="24"/>
          <w:szCs w:val="24"/>
        </w:rPr>
        <w:t xml:space="preserve"> A LOS HABITANTES DEL MISMO HACE SABER</w:t>
      </w:r>
      <w:r>
        <w:rPr>
          <w:b/>
          <w:sz w:val="24"/>
          <w:szCs w:val="24"/>
        </w:rPr>
        <w:t>:</w:t>
      </w:r>
    </w:p>
    <w:p w14:paraId="2D14D3B7" w14:textId="77777777" w:rsidR="006C6E31" w:rsidRDefault="006C6E31" w:rsidP="006C6E31">
      <w:pPr>
        <w:spacing w:after="0" w:line="240" w:lineRule="auto"/>
        <w:ind w:left="0" w:right="241" w:firstLine="0"/>
        <w:rPr>
          <w:b/>
          <w:sz w:val="24"/>
          <w:szCs w:val="24"/>
        </w:rPr>
      </w:pPr>
    </w:p>
    <w:p w14:paraId="5099E4A9" w14:textId="7BFBBE6B" w:rsidR="006C6E31" w:rsidRDefault="006C6E31" w:rsidP="006C6E31">
      <w:pPr>
        <w:spacing w:after="0" w:line="240" w:lineRule="auto"/>
        <w:ind w:left="0" w:right="24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QUE EL HONORABLE</w:t>
      </w:r>
      <w:r w:rsidRPr="006C6E31">
        <w:rPr>
          <w:b/>
          <w:sz w:val="24"/>
          <w:szCs w:val="24"/>
        </w:rPr>
        <w:t xml:space="preserve"> AYUNTAMIENTO CONSTITUCIONAL DEL MUNICIPIO DE LEÓN</w:t>
      </w:r>
      <w:r>
        <w:rPr>
          <w:b/>
          <w:sz w:val="24"/>
          <w:szCs w:val="24"/>
        </w:rPr>
        <w:t>,</w:t>
      </w:r>
      <w:r w:rsidRPr="006C6E31">
        <w:rPr>
          <w:b/>
          <w:sz w:val="24"/>
          <w:szCs w:val="24"/>
        </w:rPr>
        <w:t xml:space="preserve"> ESTADO DE GUANAJUATO CON FUNDAMENTO EN LOS ARTÍCULOS 11</w:t>
      </w:r>
      <w:r>
        <w:rPr>
          <w:b/>
          <w:sz w:val="24"/>
          <w:szCs w:val="24"/>
        </w:rPr>
        <w:t>5</w:t>
      </w:r>
      <w:r w:rsidRPr="006C6E31">
        <w:rPr>
          <w:b/>
          <w:sz w:val="24"/>
          <w:szCs w:val="24"/>
        </w:rPr>
        <w:t xml:space="preserve"> FRACCIÓN </w:t>
      </w:r>
      <w:r>
        <w:rPr>
          <w:b/>
          <w:sz w:val="24"/>
          <w:szCs w:val="24"/>
        </w:rPr>
        <w:t>II</w:t>
      </w:r>
      <w:r w:rsidRPr="006C6E31">
        <w:rPr>
          <w:b/>
          <w:sz w:val="24"/>
          <w:szCs w:val="24"/>
        </w:rPr>
        <w:t xml:space="preserve"> DE LA CONSTITUCIÓN POLÍTICA DE LOS ESTADOS UNIDOS MEXICANOS 106 DE LA CONSTITUCIÓN POLÍTICA PARA EL ESTADO DE GUANAJUATO</w:t>
      </w:r>
      <w:r>
        <w:rPr>
          <w:b/>
          <w:sz w:val="24"/>
          <w:szCs w:val="24"/>
        </w:rPr>
        <w:t>;</w:t>
      </w:r>
      <w:r w:rsidRPr="006C6E3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, 76 </w:t>
      </w:r>
      <w:r w:rsidRPr="006C6E31">
        <w:rPr>
          <w:b/>
          <w:sz w:val="24"/>
          <w:szCs w:val="24"/>
        </w:rPr>
        <w:t xml:space="preserve">FRACCIÓN </w:t>
      </w:r>
      <w:r>
        <w:rPr>
          <w:b/>
          <w:sz w:val="24"/>
          <w:szCs w:val="24"/>
        </w:rPr>
        <w:t>IV</w:t>
      </w:r>
      <w:r w:rsidRPr="006C6E31">
        <w:rPr>
          <w:b/>
          <w:sz w:val="24"/>
          <w:szCs w:val="24"/>
        </w:rPr>
        <w:t xml:space="preserve"> INCISO</w:t>
      </w:r>
      <w:r>
        <w:rPr>
          <w:b/>
          <w:sz w:val="24"/>
          <w:szCs w:val="24"/>
        </w:rPr>
        <w:t>S</w:t>
      </w:r>
      <w:r w:rsidRPr="006C6E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f), g) y j), </w:t>
      </w:r>
      <w:r w:rsidRPr="006C6E31">
        <w:rPr>
          <w:b/>
          <w:sz w:val="24"/>
          <w:szCs w:val="24"/>
        </w:rPr>
        <w:t>206</w:t>
      </w:r>
      <w:r>
        <w:rPr>
          <w:b/>
          <w:sz w:val="24"/>
          <w:szCs w:val="24"/>
        </w:rPr>
        <w:t xml:space="preserve">, </w:t>
      </w:r>
      <w:r w:rsidRPr="006C6E31">
        <w:rPr>
          <w:b/>
          <w:sz w:val="24"/>
          <w:szCs w:val="24"/>
        </w:rPr>
        <w:t>207</w:t>
      </w:r>
      <w:r>
        <w:rPr>
          <w:b/>
          <w:sz w:val="24"/>
          <w:szCs w:val="24"/>
        </w:rPr>
        <w:t xml:space="preserve"> y </w:t>
      </w:r>
      <w:r w:rsidRPr="006C6E31">
        <w:rPr>
          <w:b/>
          <w:sz w:val="24"/>
          <w:szCs w:val="24"/>
        </w:rPr>
        <w:t xml:space="preserve">208 DE LA LEY ORGÁNICA MUNICIPAL DEL ESTADO DE GUANAJUATO EN SESIÓN ORDINARIA CELEBRADA EL </w:t>
      </w:r>
      <w:r w:rsidR="00C66158">
        <w:rPr>
          <w:b/>
          <w:sz w:val="24"/>
          <w:szCs w:val="24"/>
        </w:rPr>
        <w:t>6</w:t>
      </w:r>
      <w:r w:rsidR="00A445E8">
        <w:rPr>
          <w:b/>
          <w:sz w:val="24"/>
          <w:szCs w:val="24"/>
        </w:rPr>
        <w:t xml:space="preserve"> </w:t>
      </w:r>
      <w:r w:rsidR="00C66158">
        <w:rPr>
          <w:b/>
          <w:sz w:val="24"/>
          <w:szCs w:val="24"/>
        </w:rPr>
        <w:t>DE DICIEMBRE</w:t>
      </w:r>
      <w:r>
        <w:rPr>
          <w:b/>
          <w:sz w:val="24"/>
          <w:szCs w:val="24"/>
        </w:rPr>
        <w:t xml:space="preserve"> DE </w:t>
      </w:r>
      <w:r w:rsidRPr="006C6E31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,</w:t>
      </w:r>
      <w:r w:rsidRPr="006C6E31">
        <w:rPr>
          <w:b/>
          <w:sz w:val="24"/>
          <w:szCs w:val="24"/>
        </w:rPr>
        <w:t xml:space="preserve"> APROBÓ EL SIGUIENTE</w:t>
      </w:r>
      <w:r>
        <w:rPr>
          <w:b/>
          <w:sz w:val="24"/>
          <w:szCs w:val="24"/>
        </w:rPr>
        <w:t>:</w:t>
      </w:r>
      <w:r w:rsidRPr="006C6E31">
        <w:rPr>
          <w:b/>
          <w:sz w:val="24"/>
          <w:szCs w:val="24"/>
        </w:rPr>
        <w:t xml:space="preserve"> </w:t>
      </w:r>
    </w:p>
    <w:p w14:paraId="262E9C6F" w14:textId="77777777" w:rsidR="006C6E31" w:rsidRDefault="006C6E31" w:rsidP="006C6E31">
      <w:pPr>
        <w:spacing w:after="0" w:line="240" w:lineRule="auto"/>
        <w:ind w:left="186" w:right="241"/>
        <w:jc w:val="center"/>
        <w:rPr>
          <w:b/>
          <w:sz w:val="24"/>
          <w:szCs w:val="24"/>
        </w:rPr>
      </w:pPr>
    </w:p>
    <w:p w14:paraId="37926AE0" w14:textId="77777777" w:rsidR="00A445E8" w:rsidRDefault="00A445E8" w:rsidP="006C6E31">
      <w:pPr>
        <w:spacing w:after="0" w:line="240" w:lineRule="auto"/>
        <w:ind w:left="186" w:right="241"/>
        <w:jc w:val="center"/>
        <w:rPr>
          <w:b/>
          <w:sz w:val="24"/>
          <w:szCs w:val="24"/>
        </w:rPr>
      </w:pPr>
    </w:p>
    <w:p w14:paraId="4F357055" w14:textId="70C72346" w:rsidR="006C6E31" w:rsidRDefault="006C6E31" w:rsidP="006C6E31">
      <w:pPr>
        <w:spacing w:after="0" w:line="240" w:lineRule="auto"/>
        <w:ind w:left="186" w:right="241"/>
        <w:jc w:val="center"/>
        <w:rPr>
          <w:b/>
          <w:sz w:val="24"/>
          <w:szCs w:val="24"/>
        </w:rPr>
      </w:pPr>
      <w:r w:rsidRPr="00462D1B">
        <w:rPr>
          <w:b/>
          <w:sz w:val="24"/>
          <w:szCs w:val="24"/>
        </w:rPr>
        <w:t xml:space="preserve">A C U E R D </w:t>
      </w:r>
      <w:r w:rsidR="00EC58B4" w:rsidRPr="00462D1B">
        <w:rPr>
          <w:b/>
          <w:sz w:val="24"/>
          <w:szCs w:val="24"/>
        </w:rPr>
        <w:t>O:</w:t>
      </w:r>
      <w:r w:rsidRPr="00462D1B">
        <w:rPr>
          <w:b/>
          <w:sz w:val="24"/>
          <w:szCs w:val="24"/>
        </w:rPr>
        <w:t xml:space="preserve">  </w:t>
      </w:r>
    </w:p>
    <w:p w14:paraId="68EB412B" w14:textId="6A21CCB1" w:rsidR="00EC58B4" w:rsidRDefault="00EC58B4" w:rsidP="00EC58B4">
      <w:pPr>
        <w:spacing w:after="0" w:line="240" w:lineRule="auto"/>
        <w:ind w:left="0" w:right="241" w:firstLine="0"/>
        <w:rPr>
          <w:b/>
          <w:sz w:val="24"/>
          <w:szCs w:val="24"/>
        </w:rPr>
      </w:pPr>
    </w:p>
    <w:p w14:paraId="2DB685A8" w14:textId="77777777" w:rsidR="00E5622C" w:rsidRDefault="00E5622C" w:rsidP="00EC58B4">
      <w:pPr>
        <w:spacing w:after="0" w:line="240" w:lineRule="auto"/>
        <w:ind w:left="0" w:right="241" w:firstLine="0"/>
        <w:rPr>
          <w:b/>
          <w:sz w:val="24"/>
          <w:szCs w:val="24"/>
        </w:rPr>
      </w:pPr>
    </w:p>
    <w:p w14:paraId="1E8CFC07" w14:textId="13CB0524" w:rsidR="00E5622C" w:rsidRDefault="00EC58B4" w:rsidP="00E5622C">
      <w:pPr>
        <w:spacing w:after="0" w:line="240" w:lineRule="auto"/>
        <w:rPr>
          <w:sz w:val="28"/>
          <w:szCs w:val="28"/>
        </w:rPr>
      </w:pPr>
      <w:r w:rsidRPr="00E777A2">
        <w:rPr>
          <w:b/>
          <w:bCs/>
          <w:sz w:val="28"/>
          <w:szCs w:val="28"/>
        </w:rPr>
        <w:t xml:space="preserve">PRIMERO. </w:t>
      </w:r>
      <w:r w:rsidRPr="00E777A2">
        <w:rPr>
          <w:sz w:val="28"/>
          <w:szCs w:val="28"/>
        </w:rPr>
        <w:t xml:space="preserve">Se aprueban los límites y montos máximos para los procedimientos de asignación de los contratos de adquisiciones, arrendamientos y contratación de servicios aplicables </w:t>
      </w:r>
      <w:r>
        <w:rPr>
          <w:sz w:val="28"/>
          <w:szCs w:val="28"/>
        </w:rPr>
        <w:t>para el ejercicio fiscal de 2024</w:t>
      </w:r>
      <w:r w:rsidRPr="00E777A2">
        <w:rPr>
          <w:sz w:val="28"/>
          <w:szCs w:val="28"/>
        </w:rPr>
        <w:t>, en los términos siguientes:</w:t>
      </w:r>
    </w:p>
    <w:p w14:paraId="3CE05EBB" w14:textId="4E325253" w:rsidR="00EC58B4" w:rsidRDefault="00EC58B4" w:rsidP="00EC58B4">
      <w:pPr>
        <w:spacing w:after="0" w:line="240" w:lineRule="auto"/>
        <w:rPr>
          <w:sz w:val="28"/>
          <w:szCs w:val="28"/>
        </w:rPr>
      </w:pPr>
    </w:p>
    <w:p w14:paraId="7B8D2140" w14:textId="77777777" w:rsidR="00E5622C" w:rsidRDefault="00E5622C" w:rsidP="00EC58B4">
      <w:pPr>
        <w:spacing w:after="0" w:line="240" w:lineRule="auto"/>
        <w:rPr>
          <w:sz w:val="28"/>
          <w:szCs w:val="28"/>
        </w:rPr>
      </w:pPr>
    </w:p>
    <w:p w14:paraId="1B3AAACC" w14:textId="77777777" w:rsidR="00EC58B4" w:rsidRPr="00EC58B4" w:rsidRDefault="00EC58B4" w:rsidP="00EC58B4">
      <w:pPr>
        <w:spacing w:after="0" w:line="240" w:lineRule="auto"/>
        <w:rPr>
          <w:sz w:val="28"/>
          <w:szCs w:val="28"/>
        </w:rPr>
      </w:pPr>
    </w:p>
    <w:tbl>
      <w:tblPr>
        <w:tblpPr w:leftFromText="141" w:rightFromText="141" w:vertAnchor="page" w:horzAnchor="margin" w:tblpY="8236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2421"/>
        <w:gridCol w:w="2154"/>
      </w:tblGrid>
      <w:tr w:rsidR="00EC58B4" w:rsidRPr="00B81590" w14:paraId="62489F08" w14:textId="77777777" w:rsidTr="00EC58B4">
        <w:trPr>
          <w:trHeight w:hRule="exact" w:val="586"/>
        </w:trPr>
        <w:tc>
          <w:tcPr>
            <w:tcW w:w="9368" w:type="dxa"/>
            <w:gridSpan w:val="3"/>
            <w:shd w:val="clear" w:color="auto" w:fill="D9D9D9" w:themeFill="background1" w:themeFillShade="D9"/>
          </w:tcPr>
          <w:p w14:paraId="38F32113" w14:textId="77777777" w:rsidR="00EC58B4" w:rsidRPr="00B81590" w:rsidRDefault="00EC58B4" w:rsidP="00EC58B4">
            <w:pPr>
              <w:numPr>
                <w:ilvl w:val="0"/>
                <w:numId w:val="1"/>
              </w:numPr>
              <w:spacing w:after="160" w:line="259" w:lineRule="auto"/>
              <w:ind w:right="0"/>
              <w:contextualSpacing/>
              <w:jc w:val="left"/>
              <w:rPr>
                <w:rFonts w:eastAsia="Cambria" w:cstheme="minorBidi"/>
                <w:b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b/>
                <w:color w:val="auto"/>
                <w:sz w:val="26"/>
                <w:szCs w:val="26"/>
                <w:lang w:eastAsia="en-US"/>
              </w:rPr>
              <w:t>ADMINISTRACIÓN PÚBLICA CENTRALIZADA:</w:t>
            </w:r>
          </w:p>
        </w:tc>
      </w:tr>
      <w:tr w:rsidR="00EC58B4" w:rsidRPr="00B81590" w14:paraId="7D059F9A" w14:textId="77777777" w:rsidTr="00EC58B4">
        <w:trPr>
          <w:trHeight w:hRule="exact" w:val="399"/>
        </w:trPr>
        <w:tc>
          <w:tcPr>
            <w:tcW w:w="4793" w:type="dxa"/>
            <w:shd w:val="clear" w:color="auto" w:fill="auto"/>
          </w:tcPr>
          <w:p w14:paraId="1709DA8A" w14:textId="77777777" w:rsidR="00EC58B4" w:rsidRPr="00B81590" w:rsidRDefault="00EC58B4" w:rsidP="00EC58B4">
            <w:pPr>
              <w:jc w:val="center"/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Tipo de Procedimiento</w:t>
            </w:r>
          </w:p>
        </w:tc>
        <w:tc>
          <w:tcPr>
            <w:tcW w:w="2421" w:type="dxa"/>
            <w:shd w:val="clear" w:color="auto" w:fill="auto"/>
          </w:tcPr>
          <w:p w14:paraId="7011916F" w14:textId="77777777" w:rsidR="00EC58B4" w:rsidRPr="00B81590" w:rsidRDefault="00EC58B4" w:rsidP="00EC58B4">
            <w:pPr>
              <w:jc w:val="center"/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De</w:t>
            </w:r>
          </w:p>
        </w:tc>
        <w:tc>
          <w:tcPr>
            <w:tcW w:w="2154" w:type="dxa"/>
            <w:shd w:val="clear" w:color="auto" w:fill="auto"/>
          </w:tcPr>
          <w:p w14:paraId="6D053D17" w14:textId="77777777" w:rsidR="00EC58B4" w:rsidRPr="00B81590" w:rsidRDefault="00EC58B4" w:rsidP="00EC58B4">
            <w:pPr>
              <w:jc w:val="center"/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Hasta</w:t>
            </w:r>
          </w:p>
        </w:tc>
      </w:tr>
      <w:tr w:rsidR="00EC58B4" w:rsidRPr="00B81590" w14:paraId="7A760BF9" w14:textId="77777777" w:rsidTr="00EC58B4">
        <w:trPr>
          <w:trHeight w:hRule="exact" w:val="399"/>
        </w:trPr>
        <w:tc>
          <w:tcPr>
            <w:tcW w:w="4793" w:type="dxa"/>
            <w:shd w:val="clear" w:color="auto" w:fill="auto"/>
          </w:tcPr>
          <w:p w14:paraId="5BC8C7B6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I. Adjudicación Directa</w:t>
            </w:r>
          </w:p>
        </w:tc>
        <w:tc>
          <w:tcPr>
            <w:tcW w:w="2421" w:type="dxa"/>
            <w:shd w:val="clear" w:color="auto" w:fill="auto"/>
          </w:tcPr>
          <w:p w14:paraId="40A27931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$ 1.00</w:t>
            </w:r>
          </w:p>
        </w:tc>
        <w:tc>
          <w:tcPr>
            <w:tcW w:w="2154" w:type="dxa"/>
            <w:shd w:val="clear" w:color="auto" w:fill="auto"/>
          </w:tcPr>
          <w:p w14:paraId="3410321B" w14:textId="77777777" w:rsidR="00EC58B4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$ 1´859,203.00</w:t>
            </w:r>
          </w:p>
          <w:p w14:paraId="6C5EFF76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</w:p>
          <w:p w14:paraId="137B40EA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,567.00</w:t>
            </w:r>
          </w:p>
        </w:tc>
      </w:tr>
      <w:tr w:rsidR="00EC58B4" w:rsidRPr="00B81590" w14:paraId="661C84D4" w14:textId="77777777" w:rsidTr="00EC58B4">
        <w:trPr>
          <w:trHeight w:hRule="exact" w:val="399"/>
        </w:trPr>
        <w:tc>
          <w:tcPr>
            <w:tcW w:w="4793" w:type="dxa"/>
            <w:shd w:val="clear" w:color="auto" w:fill="auto"/>
          </w:tcPr>
          <w:p w14:paraId="1DB64DCA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II. Licitación Restringida</w:t>
            </w:r>
          </w:p>
        </w:tc>
        <w:tc>
          <w:tcPr>
            <w:tcW w:w="2421" w:type="dxa"/>
            <w:shd w:val="clear" w:color="auto" w:fill="auto"/>
          </w:tcPr>
          <w:p w14:paraId="75D2FB72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 xml:space="preserve">$ </w:t>
            </w:r>
            <w: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1´859,203.01</w:t>
            </w:r>
          </w:p>
          <w:p w14:paraId="3A05460A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shd w:val="clear" w:color="auto" w:fill="auto"/>
          </w:tcPr>
          <w:p w14:paraId="775CD0C3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 xml:space="preserve">$ </w:t>
            </w: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3’</w:t>
            </w:r>
            <w: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388,926.00</w:t>
            </w:r>
          </w:p>
          <w:p w14:paraId="3EC1AE98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</w:p>
          <w:p w14:paraId="2753CA79" w14:textId="77777777" w:rsidR="00EC58B4" w:rsidRPr="00B81590" w:rsidRDefault="00EC58B4" w:rsidP="00EC58B4">
            <w:pPr>
              <w:rPr>
                <w:rFonts w:eastAsiaTheme="minorHAnsi"/>
                <w:lang w:eastAsia="en-US"/>
              </w:rPr>
            </w:pPr>
            <w:r w:rsidRPr="00B81590">
              <w:rPr>
                <w:rFonts w:eastAsiaTheme="minorHAnsi"/>
                <w:lang w:eastAsia="en-US"/>
              </w:rPr>
              <w:t>3,225,996.77</w:t>
            </w:r>
          </w:p>
          <w:p w14:paraId="548B41D9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</w:p>
          <w:p w14:paraId="7D69FD04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</w:p>
        </w:tc>
      </w:tr>
      <w:tr w:rsidR="00EC58B4" w:rsidRPr="00B81590" w14:paraId="07FEAF8A" w14:textId="77777777" w:rsidTr="00EC58B4">
        <w:trPr>
          <w:trHeight w:hRule="exact" w:val="399"/>
        </w:trPr>
        <w:tc>
          <w:tcPr>
            <w:tcW w:w="4793" w:type="dxa"/>
            <w:shd w:val="clear" w:color="auto" w:fill="auto"/>
          </w:tcPr>
          <w:p w14:paraId="6F2094F3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III. Licitación Pública</w:t>
            </w:r>
          </w:p>
        </w:tc>
        <w:tc>
          <w:tcPr>
            <w:tcW w:w="2421" w:type="dxa"/>
            <w:shd w:val="clear" w:color="auto" w:fill="auto"/>
          </w:tcPr>
          <w:p w14:paraId="4FFF299C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 xml:space="preserve">$ </w:t>
            </w: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3’</w:t>
            </w:r>
            <w: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388,926.01</w:t>
            </w:r>
          </w:p>
          <w:p w14:paraId="0AEC1EEA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</w:p>
          <w:p w14:paraId="1F6AB74C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2154" w:type="dxa"/>
            <w:shd w:val="clear" w:color="auto" w:fill="auto"/>
          </w:tcPr>
          <w:p w14:paraId="5C06B29A" w14:textId="77777777" w:rsidR="00EC58B4" w:rsidRPr="00B81590" w:rsidRDefault="00EC58B4" w:rsidP="00EC58B4">
            <w:pPr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</w:pPr>
            <w:r w:rsidRPr="00B81590">
              <w:rPr>
                <w:rFonts w:eastAsia="Cambria" w:cstheme="minorBidi"/>
                <w:color w:val="auto"/>
                <w:sz w:val="26"/>
                <w:szCs w:val="26"/>
                <w:lang w:eastAsia="en-US"/>
              </w:rPr>
              <w:t>En Adelante</w:t>
            </w:r>
          </w:p>
        </w:tc>
      </w:tr>
    </w:tbl>
    <w:p w14:paraId="5250BBC8" w14:textId="13B0E94E" w:rsidR="00EC58B4" w:rsidRDefault="00EC58B4" w:rsidP="00EC58B4">
      <w:pPr>
        <w:spacing w:after="0" w:line="240" w:lineRule="auto"/>
        <w:rPr>
          <w:rFonts w:eastAsia="Times New Roman"/>
          <w:b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-4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81"/>
        <w:gridCol w:w="2331"/>
      </w:tblGrid>
      <w:tr w:rsidR="00EC58B4" w:rsidRPr="004B546D" w14:paraId="63F24A1F" w14:textId="77777777" w:rsidTr="00EC58B4">
        <w:trPr>
          <w:trHeight w:hRule="exact" w:val="802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14:paraId="0C3EE560" w14:textId="77777777" w:rsidR="00EC58B4" w:rsidRPr="004B546D" w:rsidRDefault="00EC58B4" w:rsidP="00EC58B4">
            <w:pPr>
              <w:rPr>
                <w:rFonts w:eastAsia="Cambria"/>
                <w:b/>
                <w:sz w:val="26"/>
                <w:szCs w:val="26"/>
              </w:rPr>
            </w:pPr>
            <w:r>
              <w:rPr>
                <w:rFonts w:eastAsia="Cambria"/>
                <w:b/>
                <w:sz w:val="26"/>
                <w:szCs w:val="26"/>
              </w:rPr>
              <w:t>B)</w:t>
            </w:r>
            <w:r w:rsidRPr="004B546D">
              <w:rPr>
                <w:rFonts w:eastAsia="Cambria"/>
                <w:b/>
                <w:sz w:val="26"/>
                <w:szCs w:val="26"/>
              </w:rPr>
              <w:t xml:space="preserve"> PATRONATO DE BOMBEROS DE LEÓN, GTO., E INSTITUTO MUNICIPAL DE PLANEACIÓN DE LEÓN, GTO</w:t>
            </w:r>
            <w:r>
              <w:rPr>
                <w:rFonts w:eastAsia="Cambria"/>
                <w:b/>
                <w:sz w:val="26"/>
                <w:szCs w:val="26"/>
              </w:rPr>
              <w:t>.</w:t>
            </w:r>
            <w:r w:rsidRPr="004B546D">
              <w:rPr>
                <w:rFonts w:eastAsia="Cambria"/>
                <w:b/>
                <w:sz w:val="26"/>
                <w:szCs w:val="26"/>
              </w:rPr>
              <w:t xml:space="preserve"> (IMPLAN):</w:t>
            </w:r>
          </w:p>
        </w:tc>
      </w:tr>
      <w:tr w:rsidR="00EC58B4" w:rsidRPr="004B546D" w14:paraId="3154E5D4" w14:textId="77777777" w:rsidTr="00EC58B4">
        <w:trPr>
          <w:trHeight w:hRule="exact" w:val="369"/>
        </w:trPr>
        <w:tc>
          <w:tcPr>
            <w:tcW w:w="4644" w:type="dxa"/>
            <w:shd w:val="clear" w:color="auto" w:fill="auto"/>
          </w:tcPr>
          <w:p w14:paraId="61127495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Tipo de Procedimiento</w:t>
            </w:r>
          </w:p>
        </w:tc>
        <w:tc>
          <w:tcPr>
            <w:tcW w:w="2381" w:type="dxa"/>
            <w:shd w:val="clear" w:color="auto" w:fill="auto"/>
          </w:tcPr>
          <w:p w14:paraId="1C0F527F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De</w:t>
            </w:r>
          </w:p>
        </w:tc>
        <w:tc>
          <w:tcPr>
            <w:tcW w:w="2331" w:type="dxa"/>
            <w:shd w:val="clear" w:color="auto" w:fill="auto"/>
          </w:tcPr>
          <w:p w14:paraId="12DC87DD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Hasta</w:t>
            </w:r>
          </w:p>
        </w:tc>
      </w:tr>
      <w:tr w:rsidR="00EC58B4" w:rsidRPr="004B546D" w14:paraId="6F54CA8B" w14:textId="77777777" w:rsidTr="00EC58B4">
        <w:trPr>
          <w:trHeight w:hRule="exact" w:val="369"/>
        </w:trPr>
        <w:tc>
          <w:tcPr>
            <w:tcW w:w="4644" w:type="dxa"/>
            <w:shd w:val="clear" w:color="auto" w:fill="auto"/>
          </w:tcPr>
          <w:p w14:paraId="2101C6DE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I.</w:t>
            </w:r>
            <w:r w:rsidRPr="004B546D">
              <w:rPr>
                <w:rFonts w:eastAsia="Cambria"/>
                <w:sz w:val="26"/>
                <w:szCs w:val="26"/>
              </w:rPr>
              <w:t xml:space="preserve"> Adjudicación Directa</w:t>
            </w:r>
          </w:p>
        </w:tc>
        <w:tc>
          <w:tcPr>
            <w:tcW w:w="2381" w:type="dxa"/>
            <w:shd w:val="clear" w:color="auto" w:fill="auto"/>
          </w:tcPr>
          <w:p w14:paraId="5C36E5C0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$ 1.00</w:t>
            </w:r>
          </w:p>
        </w:tc>
        <w:tc>
          <w:tcPr>
            <w:tcW w:w="2331" w:type="dxa"/>
            <w:shd w:val="clear" w:color="auto" w:fill="auto"/>
          </w:tcPr>
          <w:p w14:paraId="4118CBF2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$ 1’388,520.00</w:t>
            </w:r>
          </w:p>
        </w:tc>
      </w:tr>
      <w:tr w:rsidR="00EC58B4" w:rsidRPr="004B546D" w14:paraId="5DA82A7D" w14:textId="77777777" w:rsidTr="00EC58B4">
        <w:trPr>
          <w:trHeight w:hRule="exact" w:val="369"/>
        </w:trPr>
        <w:tc>
          <w:tcPr>
            <w:tcW w:w="4644" w:type="dxa"/>
            <w:shd w:val="clear" w:color="auto" w:fill="auto"/>
          </w:tcPr>
          <w:p w14:paraId="22EB2937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II.</w:t>
            </w:r>
            <w:r w:rsidRPr="004B546D">
              <w:rPr>
                <w:rFonts w:eastAsia="Cambria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381" w:type="dxa"/>
            <w:shd w:val="clear" w:color="auto" w:fill="auto"/>
          </w:tcPr>
          <w:p w14:paraId="3298DA0E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$ 1’388,520.01</w:t>
            </w:r>
          </w:p>
        </w:tc>
        <w:tc>
          <w:tcPr>
            <w:tcW w:w="2331" w:type="dxa"/>
            <w:shd w:val="clear" w:color="auto" w:fill="auto"/>
          </w:tcPr>
          <w:p w14:paraId="2CF211F8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 xml:space="preserve">$ </w:t>
            </w:r>
            <w:r>
              <w:rPr>
                <w:rFonts w:eastAsia="Cambria"/>
                <w:sz w:val="26"/>
                <w:szCs w:val="26"/>
              </w:rPr>
              <w:t>2’471,093.00</w:t>
            </w:r>
          </w:p>
        </w:tc>
      </w:tr>
      <w:tr w:rsidR="00EC58B4" w:rsidRPr="004B546D" w14:paraId="05AC1117" w14:textId="77777777" w:rsidTr="00EC58B4">
        <w:trPr>
          <w:trHeight w:hRule="exact" w:val="369"/>
        </w:trPr>
        <w:tc>
          <w:tcPr>
            <w:tcW w:w="4644" w:type="dxa"/>
            <w:shd w:val="clear" w:color="auto" w:fill="auto"/>
          </w:tcPr>
          <w:p w14:paraId="1772DD9F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III.</w:t>
            </w:r>
            <w:r w:rsidRPr="004B546D">
              <w:rPr>
                <w:rFonts w:eastAsia="Cambria"/>
                <w:sz w:val="26"/>
                <w:szCs w:val="26"/>
              </w:rPr>
              <w:t xml:space="preserve"> Licitación Pública</w:t>
            </w:r>
          </w:p>
        </w:tc>
        <w:tc>
          <w:tcPr>
            <w:tcW w:w="2381" w:type="dxa"/>
            <w:shd w:val="clear" w:color="auto" w:fill="auto"/>
          </w:tcPr>
          <w:p w14:paraId="2CACD8EE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$ 2’471,093.01</w:t>
            </w:r>
          </w:p>
        </w:tc>
        <w:tc>
          <w:tcPr>
            <w:tcW w:w="2331" w:type="dxa"/>
            <w:shd w:val="clear" w:color="auto" w:fill="auto"/>
          </w:tcPr>
          <w:p w14:paraId="7E0AF6D4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En Adelante</w:t>
            </w:r>
          </w:p>
        </w:tc>
      </w:tr>
    </w:tbl>
    <w:tbl>
      <w:tblPr>
        <w:tblpPr w:leftFromText="141" w:rightFromText="141" w:vertAnchor="text" w:horzAnchor="margin" w:tblpY="-185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2239"/>
        <w:gridCol w:w="2221"/>
      </w:tblGrid>
      <w:tr w:rsidR="00EC58B4" w:rsidRPr="004B546D" w14:paraId="5E4848CE" w14:textId="77777777" w:rsidTr="00EC58B4">
        <w:trPr>
          <w:trHeight w:hRule="exact" w:val="995"/>
        </w:trPr>
        <w:tc>
          <w:tcPr>
            <w:tcW w:w="9332" w:type="dxa"/>
            <w:gridSpan w:val="3"/>
            <w:shd w:val="clear" w:color="auto" w:fill="D9D9D9" w:themeFill="background1" w:themeFillShade="D9"/>
          </w:tcPr>
          <w:p w14:paraId="70AE0024" w14:textId="77777777" w:rsidR="00EC58B4" w:rsidRPr="004B546D" w:rsidRDefault="00EC58B4" w:rsidP="00EC58B4">
            <w:pPr>
              <w:rPr>
                <w:rFonts w:eastAsia="Cambria"/>
                <w:b/>
                <w:sz w:val="26"/>
                <w:szCs w:val="26"/>
              </w:rPr>
            </w:pPr>
            <w:r>
              <w:rPr>
                <w:rFonts w:eastAsia="Cambria"/>
                <w:b/>
                <w:sz w:val="26"/>
                <w:szCs w:val="26"/>
              </w:rPr>
              <w:lastRenderedPageBreak/>
              <w:t>C)</w:t>
            </w:r>
            <w:r w:rsidRPr="004B546D">
              <w:rPr>
                <w:rFonts w:eastAsia="Cambria"/>
                <w:b/>
                <w:sz w:val="26"/>
                <w:szCs w:val="26"/>
              </w:rPr>
              <w:t xml:space="preserve"> PATRONATO DE LA FERIA ESTATAL DE LEÓN Y PARQUE ECOLÓGICO; PATRONATO DE EXPLORA Y SISTEMA DE AGUA</w:t>
            </w:r>
            <w:r>
              <w:rPr>
                <w:rFonts w:eastAsia="Cambria"/>
                <w:b/>
                <w:sz w:val="26"/>
                <w:szCs w:val="26"/>
              </w:rPr>
              <w:t xml:space="preserve"> POTABLE Y ALCANTARILLADO DE LEÓ</w:t>
            </w:r>
            <w:r w:rsidRPr="004B546D">
              <w:rPr>
                <w:rFonts w:eastAsia="Cambria"/>
                <w:b/>
                <w:sz w:val="26"/>
                <w:szCs w:val="26"/>
              </w:rPr>
              <w:t>N</w:t>
            </w:r>
            <w:r>
              <w:rPr>
                <w:rFonts w:eastAsia="Cambria"/>
                <w:b/>
                <w:sz w:val="26"/>
                <w:szCs w:val="26"/>
              </w:rPr>
              <w:t xml:space="preserve"> (SAPAL)</w:t>
            </w:r>
            <w:r w:rsidRPr="004B546D">
              <w:rPr>
                <w:rFonts w:eastAsia="Cambria"/>
                <w:b/>
                <w:sz w:val="26"/>
                <w:szCs w:val="26"/>
              </w:rPr>
              <w:t xml:space="preserve">: </w:t>
            </w:r>
          </w:p>
        </w:tc>
      </w:tr>
      <w:tr w:rsidR="00EC58B4" w:rsidRPr="004B546D" w14:paraId="73BB9676" w14:textId="77777777" w:rsidTr="00EC58B4">
        <w:trPr>
          <w:trHeight w:hRule="exact" w:val="390"/>
        </w:trPr>
        <w:tc>
          <w:tcPr>
            <w:tcW w:w="4872" w:type="dxa"/>
            <w:shd w:val="clear" w:color="auto" w:fill="auto"/>
          </w:tcPr>
          <w:p w14:paraId="161DFE0D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Tipo de Procedimiento</w:t>
            </w:r>
          </w:p>
        </w:tc>
        <w:tc>
          <w:tcPr>
            <w:tcW w:w="2239" w:type="dxa"/>
            <w:shd w:val="clear" w:color="auto" w:fill="auto"/>
          </w:tcPr>
          <w:p w14:paraId="17A7EBD4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De</w:t>
            </w:r>
          </w:p>
        </w:tc>
        <w:tc>
          <w:tcPr>
            <w:tcW w:w="2221" w:type="dxa"/>
            <w:shd w:val="clear" w:color="auto" w:fill="auto"/>
          </w:tcPr>
          <w:p w14:paraId="200ED2D9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Hasta</w:t>
            </w:r>
          </w:p>
        </w:tc>
      </w:tr>
      <w:tr w:rsidR="00EC58B4" w:rsidRPr="004B546D" w14:paraId="4C831237" w14:textId="77777777" w:rsidTr="00EC58B4">
        <w:trPr>
          <w:trHeight w:hRule="exact" w:val="390"/>
        </w:trPr>
        <w:tc>
          <w:tcPr>
            <w:tcW w:w="4872" w:type="dxa"/>
            <w:shd w:val="clear" w:color="auto" w:fill="auto"/>
          </w:tcPr>
          <w:p w14:paraId="7E881F94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I.</w:t>
            </w:r>
            <w:r w:rsidRPr="004B546D">
              <w:rPr>
                <w:rFonts w:eastAsia="Cambria"/>
                <w:sz w:val="26"/>
                <w:szCs w:val="26"/>
              </w:rPr>
              <w:t xml:space="preserve"> Adjudicación Directa</w:t>
            </w:r>
          </w:p>
        </w:tc>
        <w:tc>
          <w:tcPr>
            <w:tcW w:w="2239" w:type="dxa"/>
            <w:shd w:val="clear" w:color="auto" w:fill="auto"/>
          </w:tcPr>
          <w:p w14:paraId="47307490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$ 1.00</w:t>
            </w:r>
          </w:p>
        </w:tc>
        <w:tc>
          <w:tcPr>
            <w:tcW w:w="2221" w:type="dxa"/>
            <w:shd w:val="clear" w:color="auto" w:fill="auto"/>
          </w:tcPr>
          <w:p w14:paraId="28F4A5A2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$ 1’647,394.00</w:t>
            </w:r>
          </w:p>
        </w:tc>
      </w:tr>
      <w:tr w:rsidR="00EC58B4" w:rsidRPr="004B546D" w14:paraId="2879DAC9" w14:textId="77777777" w:rsidTr="00EC58B4">
        <w:trPr>
          <w:trHeight w:hRule="exact" w:val="390"/>
        </w:trPr>
        <w:tc>
          <w:tcPr>
            <w:tcW w:w="4872" w:type="dxa"/>
            <w:shd w:val="clear" w:color="auto" w:fill="auto"/>
          </w:tcPr>
          <w:p w14:paraId="5B5EA411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II.</w:t>
            </w:r>
            <w:r w:rsidRPr="004B546D">
              <w:rPr>
                <w:rFonts w:eastAsia="Cambria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239" w:type="dxa"/>
            <w:shd w:val="clear" w:color="auto" w:fill="auto"/>
          </w:tcPr>
          <w:p w14:paraId="58C90314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1’647,394.01</w:t>
            </w:r>
          </w:p>
        </w:tc>
        <w:tc>
          <w:tcPr>
            <w:tcW w:w="2221" w:type="dxa"/>
            <w:shd w:val="clear" w:color="auto" w:fill="auto"/>
          </w:tcPr>
          <w:p w14:paraId="32880D7A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 xml:space="preserve">$ </w:t>
            </w:r>
            <w:r>
              <w:rPr>
                <w:rFonts w:eastAsia="Cambria"/>
                <w:sz w:val="26"/>
                <w:szCs w:val="26"/>
              </w:rPr>
              <w:t>2’753,502.00</w:t>
            </w:r>
          </w:p>
        </w:tc>
      </w:tr>
      <w:tr w:rsidR="00EC58B4" w:rsidRPr="004B546D" w14:paraId="42AFFE7A" w14:textId="77777777" w:rsidTr="00EC58B4">
        <w:trPr>
          <w:trHeight w:hRule="exact" w:val="390"/>
        </w:trPr>
        <w:tc>
          <w:tcPr>
            <w:tcW w:w="4872" w:type="dxa"/>
            <w:shd w:val="clear" w:color="auto" w:fill="auto"/>
          </w:tcPr>
          <w:p w14:paraId="65CB2636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III.</w:t>
            </w:r>
            <w:r w:rsidRPr="004B546D">
              <w:rPr>
                <w:rFonts w:eastAsia="Cambria"/>
                <w:sz w:val="26"/>
                <w:szCs w:val="26"/>
              </w:rPr>
              <w:t xml:space="preserve"> Licitación Pública</w:t>
            </w:r>
          </w:p>
        </w:tc>
        <w:tc>
          <w:tcPr>
            <w:tcW w:w="2239" w:type="dxa"/>
            <w:shd w:val="clear" w:color="auto" w:fill="auto"/>
          </w:tcPr>
          <w:p w14:paraId="3D85D39D" w14:textId="77777777" w:rsidR="00EC58B4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$ 2’753,502.01</w:t>
            </w:r>
          </w:p>
          <w:p w14:paraId="5213FA63" w14:textId="77777777" w:rsidR="00EC58B4" w:rsidRDefault="00EC58B4" w:rsidP="00EC58B4">
            <w:pPr>
              <w:rPr>
                <w:rFonts w:eastAsia="Cambria"/>
                <w:sz w:val="26"/>
                <w:szCs w:val="26"/>
              </w:rPr>
            </w:pPr>
          </w:p>
          <w:p w14:paraId="63798553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22.01</w:t>
            </w:r>
          </w:p>
        </w:tc>
        <w:tc>
          <w:tcPr>
            <w:tcW w:w="2221" w:type="dxa"/>
            <w:shd w:val="clear" w:color="auto" w:fill="auto"/>
          </w:tcPr>
          <w:p w14:paraId="47FCA76E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En Adelante</w:t>
            </w:r>
          </w:p>
        </w:tc>
      </w:tr>
    </w:tbl>
    <w:p w14:paraId="2EA2B8B6" w14:textId="1E647ECD" w:rsidR="00EC58B4" w:rsidRDefault="00EC58B4" w:rsidP="00EC58B4">
      <w:pPr>
        <w:spacing w:after="0" w:line="240" w:lineRule="auto"/>
        <w:ind w:left="0" w:firstLine="0"/>
        <w:rPr>
          <w:rFonts w:eastAsia="Times New Roman"/>
          <w:b/>
          <w:sz w:val="28"/>
          <w:szCs w:val="28"/>
          <w:lang w:eastAsia="es-ES"/>
        </w:rPr>
      </w:pPr>
    </w:p>
    <w:tbl>
      <w:tblPr>
        <w:tblpPr w:leftFromText="141" w:rightFromText="141" w:vertAnchor="text" w:horzAnchor="margin" w:tblpY="144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2608"/>
        <w:gridCol w:w="2460"/>
      </w:tblGrid>
      <w:tr w:rsidR="00EC58B4" w:rsidRPr="004B546D" w14:paraId="45F7F3FB" w14:textId="77777777" w:rsidTr="00EC58B4">
        <w:trPr>
          <w:trHeight w:hRule="exact" w:val="774"/>
        </w:trPr>
        <w:tc>
          <w:tcPr>
            <w:tcW w:w="9381" w:type="dxa"/>
            <w:gridSpan w:val="3"/>
            <w:shd w:val="clear" w:color="auto" w:fill="D9D9D9" w:themeFill="background1" w:themeFillShade="D9"/>
          </w:tcPr>
          <w:p w14:paraId="7A23AEDB" w14:textId="77777777" w:rsidR="00EC58B4" w:rsidRPr="004B546D" w:rsidRDefault="00EC58B4" w:rsidP="00EC58B4">
            <w:pPr>
              <w:rPr>
                <w:rFonts w:eastAsia="Cambria"/>
                <w:b/>
                <w:sz w:val="26"/>
                <w:szCs w:val="26"/>
              </w:rPr>
            </w:pPr>
            <w:r>
              <w:rPr>
                <w:rFonts w:eastAsia="Cambria"/>
                <w:b/>
                <w:sz w:val="26"/>
                <w:szCs w:val="26"/>
              </w:rPr>
              <w:t xml:space="preserve">D) </w:t>
            </w:r>
            <w:r w:rsidRPr="000F10EF">
              <w:rPr>
                <w:rFonts w:eastAsia="Cambria"/>
                <w:b/>
              </w:rPr>
              <w:t>TODAS LAS DEMÁS ENTIDADES QUE INTEGRAN LA ADMINISTRACIÓN PÚBLICA PARAMUNICIPAL, Y ORGANISMOS AUTÓNOMOS:</w:t>
            </w:r>
          </w:p>
        </w:tc>
      </w:tr>
      <w:tr w:rsidR="00EC58B4" w:rsidRPr="004B546D" w14:paraId="5A4050AF" w14:textId="77777777" w:rsidTr="00EC58B4">
        <w:trPr>
          <w:trHeight w:hRule="exact" w:val="397"/>
        </w:trPr>
        <w:tc>
          <w:tcPr>
            <w:tcW w:w="4313" w:type="dxa"/>
            <w:shd w:val="clear" w:color="auto" w:fill="auto"/>
          </w:tcPr>
          <w:p w14:paraId="5457B7BA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Tipo de Procedimiento</w:t>
            </w:r>
          </w:p>
        </w:tc>
        <w:tc>
          <w:tcPr>
            <w:tcW w:w="2608" w:type="dxa"/>
            <w:shd w:val="clear" w:color="auto" w:fill="auto"/>
          </w:tcPr>
          <w:p w14:paraId="443048B7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De</w:t>
            </w:r>
          </w:p>
        </w:tc>
        <w:tc>
          <w:tcPr>
            <w:tcW w:w="2460" w:type="dxa"/>
            <w:shd w:val="clear" w:color="auto" w:fill="auto"/>
          </w:tcPr>
          <w:p w14:paraId="0B626EC6" w14:textId="77777777" w:rsidR="00EC58B4" w:rsidRPr="004B546D" w:rsidRDefault="00EC58B4" w:rsidP="00EC58B4">
            <w:pPr>
              <w:jc w:val="center"/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Hasta</w:t>
            </w:r>
          </w:p>
        </w:tc>
      </w:tr>
      <w:tr w:rsidR="00EC58B4" w:rsidRPr="004B546D" w14:paraId="30A7A01A" w14:textId="77777777" w:rsidTr="00EC58B4">
        <w:trPr>
          <w:trHeight w:hRule="exact" w:val="397"/>
        </w:trPr>
        <w:tc>
          <w:tcPr>
            <w:tcW w:w="4313" w:type="dxa"/>
            <w:shd w:val="clear" w:color="auto" w:fill="auto"/>
          </w:tcPr>
          <w:p w14:paraId="70643099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I.</w:t>
            </w:r>
            <w:r w:rsidRPr="004B546D">
              <w:rPr>
                <w:rFonts w:eastAsia="Cambria"/>
                <w:sz w:val="26"/>
                <w:szCs w:val="26"/>
              </w:rPr>
              <w:t xml:space="preserve"> Adjudicación Directa</w:t>
            </w:r>
          </w:p>
        </w:tc>
        <w:tc>
          <w:tcPr>
            <w:tcW w:w="2608" w:type="dxa"/>
            <w:shd w:val="clear" w:color="auto" w:fill="auto"/>
          </w:tcPr>
          <w:p w14:paraId="4EA9546B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$ 1.00</w:t>
            </w:r>
          </w:p>
        </w:tc>
        <w:tc>
          <w:tcPr>
            <w:tcW w:w="2460" w:type="dxa"/>
            <w:shd w:val="clear" w:color="auto" w:fill="auto"/>
          </w:tcPr>
          <w:p w14:paraId="51186A02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 xml:space="preserve">$ </w:t>
            </w:r>
            <w:r>
              <w:rPr>
                <w:rFonts w:eastAsia="Cambria"/>
                <w:sz w:val="26"/>
                <w:szCs w:val="26"/>
              </w:rPr>
              <w:t>576,590.00</w:t>
            </w:r>
          </w:p>
        </w:tc>
      </w:tr>
      <w:tr w:rsidR="00EC58B4" w:rsidRPr="004B546D" w14:paraId="76C7F6D0" w14:textId="77777777" w:rsidTr="00EC58B4">
        <w:trPr>
          <w:trHeight w:hRule="exact" w:val="397"/>
        </w:trPr>
        <w:tc>
          <w:tcPr>
            <w:tcW w:w="4313" w:type="dxa"/>
            <w:shd w:val="clear" w:color="auto" w:fill="auto"/>
          </w:tcPr>
          <w:p w14:paraId="29B5C2F7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II.</w:t>
            </w:r>
            <w:r w:rsidRPr="004B546D">
              <w:rPr>
                <w:rFonts w:eastAsia="Cambria"/>
                <w:sz w:val="26"/>
                <w:szCs w:val="26"/>
              </w:rPr>
              <w:t xml:space="preserve"> Licitación Restringida</w:t>
            </w:r>
          </w:p>
        </w:tc>
        <w:tc>
          <w:tcPr>
            <w:tcW w:w="2608" w:type="dxa"/>
            <w:shd w:val="clear" w:color="auto" w:fill="auto"/>
          </w:tcPr>
          <w:p w14:paraId="3D053614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 xml:space="preserve">$ </w:t>
            </w:r>
            <w:r>
              <w:rPr>
                <w:rFonts w:eastAsia="Cambria"/>
                <w:sz w:val="26"/>
                <w:szCs w:val="26"/>
              </w:rPr>
              <w:t>576,590.01</w:t>
            </w:r>
          </w:p>
        </w:tc>
        <w:tc>
          <w:tcPr>
            <w:tcW w:w="2460" w:type="dxa"/>
            <w:shd w:val="clear" w:color="auto" w:fill="auto"/>
          </w:tcPr>
          <w:p w14:paraId="0BF86786" w14:textId="77777777" w:rsidR="00EC58B4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$ 1’752,879.00</w:t>
            </w:r>
          </w:p>
          <w:p w14:paraId="53A83361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</w:p>
        </w:tc>
      </w:tr>
      <w:tr w:rsidR="00EC58B4" w:rsidRPr="004B546D" w14:paraId="54201160" w14:textId="77777777" w:rsidTr="00EC58B4">
        <w:trPr>
          <w:trHeight w:hRule="exact" w:val="397"/>
        </w:trPr>
        <w:tc>
          <w:tcPr>
            <w:tcW w:w="4313" w:type="dxa"/>
            <w:shd w:val="clear" w:color="auto" w:fill="auto"/>
          </w:tcPr>
          <w:p w14:paraId="70547CF3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III.</w:t>
            </w:r>
            <w:r w:rsidRPr="004B546D">
              <w:rPr>
                <w:rFonts w:eastAsia="Cambria"/>
                <w:sz w:val="26"/>
                <w:szCs w:val="26"/>
              </w:rPr>
              <w:t xml:space="preserve"> Licitación Pública</w:t>
            </w:r>
          </w:p>
        </w:tc>
        <w:tc>
          <w:tcPr>
            <w:tcW w:w="2608" w:type="dxa"/>
            <w:shd w:val="clear" w:color="auto" w:fill="auto"/>
          </w:tcPr>
          <w:p w14:paraId="744A6BFD" w14:textId="77777777" w:rsidR="00EC58B4" w:rsidRDefault="00EC58B4" w:rsidP="00EC58B4">
            <w:pPr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  <w:t>$ 1’752,879.01</w:t>
            </w:r>
          </w:p>
          <w:p w14:paraId="661DB089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</w:p>
        </w:tc>
        <w:tc>
          <w:tcPr>
            <w:tcW w:w="2460" w:type="dxa"/>
            <w:shd w:val="clear" w:color="auto" w:fill="auto"/>
          </w:tcPr>
          <w:p w14:paraId="1C0A59B4" w14:textId="77777777" w:rsidR="00EC58B4" w:rsidRPr="004B546D" w:rsidRDefault="00EC58B4" w:rsidP="00EC58B4">
            <w:pPr>
              <w:rPr>
                <w:rFonts w:eastAsia="Cambria"/>
                <w:sz w:val="26"/>
                <w:szCs w:val="26"/>
              </w:rPr>
            </w:pPr>
            <w:r w:rsidRPr="004B546D">
              <w:rPr>
                <w:rFonts w:eastAsia="Cambria"/>
                <w:sz w:val="26"/>
                <w:szCs w:val="26"/>
              </w:rPr>
              <w:t>En Adelante</w:t>
            </w:r>
          </w:p>
        </w:tc>
      </w:tr>
    </w:tbl>
    <w:p w14:paraId="09F9B462" w14:textId="4A94F6E6" w:rsidR="00EC58B4" w:rsidRPr="004E1AB0" w:rsidRDefault="00EC58B4" w:rsidP="00EC58B4">
      <w:pPr>
        <w:spacing w:after="0" w:line="240" w:lineRule="auto"/>
        <w:ind w:left="0" w:firstLine="0"/>
        <w:rPr>
          <w:rFonts w:eastAsia="Times New Roman"/>
          <w:b/>
          <w:i/>
          <w:sz w:val="24"/>
          <w:szCs w:val="24"/>
          <w:lang w:eastAsia="es-ES"/>
        </w:rPr>
      </w:pPr>
      <w:r w:rsidRPr="004E1AB0">
        <w:rPr>
          <w:rFonts w:eastAsia="Times New Roman"/>
          <w:b/>
          <w:i/>
          <w:sz w:val="24"/>
          <w:szCs w:val="24"/>
          <w:lang w:eastAsia="es-ES"/>
        </w:rPr>
        <w:t>Los presentes límites y montos no incluyen el impuesto al valor agregado (IVA), y tendrán vigencia a partir del 01 de enero hasta el 31 de diciembre</w:t>
      </w:r>
      <w:r>
        <w:rPr>
          <w:rFonts w:eastAsia="Times New Roman"/>
          <w:b/>
          <w:i/>
          <w:sz w:val="24"/>
          <w:szCs w:val="24"/>
          <w:lang w:eastAsia="es-ES"/>
        </w:rPr>
        <w:t xml:space="preserve"> </w:t>
      </w:r>
      <w:r w:rsidRPr="00080F57">
        <w:rPr>
          <w:rFonts w:eastAsia="Times New Roman"/>
          <w:b/>
          <w:i/>
          <w:sz w:val="24"/>
          <w:szCs w:val="24"/>
          <w:lang w:eastAsia="es-ES"/>
        </w:rPr>
        <w:t>del 2024.</w:t>
      </w:r>
    </w:p>
    <w:p w14:paraId="4B89BF49" w14:textId="77777777" w:rsidR="00EC58B4" w:rsidRDefault="00EC58B4" w:rsidP="00EC58B4">
      <w:pPr>
        <w:spacing w:after="0" w:line="240" w:lineRule="auto"/>
        <w:rPr>
          <w:rFonts w:eastAsia="Times New Roman"/>
          <w:b/>
          <w:sz w:val="28"/>
          <w:szCs w:val="28"/>
          <w:lang w:eastAsia="es-ES"/>
        </w:rPr>
      </w:pPr>
    </w:p>
    <w:p w14:paraId="21E129FB" w14:textId="5A3B959D" w:rsidR="00EC58B4" w:rsidRDefault="00EC58B4" w:rsidP="00EC58B4">
      <w:pPr>
        <w:tabs>
          <w:tab w:val="left" w:pos="1245"/>
        </w:tabs>
        <w:spacing w:after="0" w:line="240" w:lineRule="auto"/>
        <w:rPr>
          <w:rFonts w:eastAsia="Times New Roman"/>
          <w:sz w:val="28"/>
          <w:szCs w:val="28"/>
          <w:lang w:eastAsia="es-ES"/>
        </w:rPr>
      </w:pPr>
      <w:r>
        <w:rPr>
          <w:rFonts w:eastAsia="Times New Roman"/>
          <w:b/>
          <w:sz w:val="28"/>
          <w:szCs w:val="28"/>
          <w:lang w:eastAsia="es-ES"/>
        </w:rPr>
        <w:t xml:space="preserve">SEGUNDO. - </w:t>
      </w:r>
      <w:r w:rsidRPr="00AA5551">
        <w:rPr>
          <w:rFonts w:eastAsia="Times New Roman"/>
          <w:sz w:val="28"/>
          <w:szCs w:val="28"/>
          <w:lang w:eastAsia="es-ES"/>
        </w:rPr>
        <w:t>Publíquese el presente acuerdo en el Periódico Oficial del Gobierno del Estado de Guanajuato de conformidad con lo que establece e</w:t>
      </w:r>
      <w:r>
        <w:rPr>
          <w:rFonts w:eastAsia="Times New Roman"/>
          <w:sz w:val="28"/>
          <w:szCs w:val="28"/>
          <w:lang w:eastAsia="es-ES"/>
        </w:rPr>
        <w:t xml:space="preserve">l artículo </w:t>
      </w:r>
      <w:r w:rsidRPr="00AA5551">
        <w:rPr>
          <w:rFonts w:eastAsia="Times New Roman"/>
          <w:sz w:val="28"/>
          <w:szCs w:val="28"/>
          <w:lang w:eastAsia="es-ES"/>
        </w:rPr>
        <w:t>25 del</w:t>
      </w:r>
      <w:r>
        <w:rPr>
          <w:rFonts w:eastAsia="Times New Roman"/>
          <w:b/>
          <w:sz w:val="28"/>
          <w:szCs w:val="28"/>
          <w:lang w:eastAsia="es-ES"/>
        </w:rPr>
        <w:t xml:space="preserve"> </w:t>
      </w:r>
      <w:r w:rsidRPr="00146146">
        <w:rPr>
          <w:rFonts w:eastAsia="Times New Roman"/>
          <w:sz w:val="28"/>
          <w:szCs w:val="28"/>
          <w:lang w:eastAsia="es-ES"/>
        </w:rPr>
        <w:t xml:space="preserve">Reglamento </w:t>
      </w:r>
      <w:r>
        <w:rPr>
          <w:rFonts w:eastAsia="Times New Roman"/>
          <w:sz w:val="28"/>
          <w:szCs w:val="28"/>
          <w:lang w:eastAsia="es-ES"/>
        </w:rPr>
        <w:t xml:space="preserve">de Adquisiciones, Enajenaciones, Arrendamientos, </w:t>
      </w:r>
      <w:r w:rsidRPr="00146146">
        <w:rPr>
          <w:rFonts w:eastAsia="Times New Roman"/>
          <w:sz w:val="28"/>
          <w:szCs w:val="28"/>
          <w:lang w:eastAsia="es-ES"/>
        </w:rPr>
        <w:t>Comodatos y Contratación de Servicios para el Municipio de León, Guanajuato</w:t>
      </w:r>
      <w:r>
        <w:rPr>
          <w:rFonts w:eastAsia="Times New Roman"/>
          <w:sz w:val="28"/>
          <w:szCs w:val="28"/>
          <w:lang w:eastAsia="es-ES"/>
        </w:rPr>
        <w:t>.</w:t>
      </w:r>
    </w:p>
    <w:p w14:paraId="56144398" w14:textId="77777777" w:rsidR="00EC58B4" w:rsidRDefault="00EC58B4" w:rsidP="00EC58B4">
      <w:pPr>
        <w:tabs>
          <w:tab w:val="left" w:pos="1245"/>
        </w:tabs>
        <w:spacing w:after="0" w:line="240" w:lineRule="auto"/>
        <w:rPr>
          <w:rFonts w:eastAsia="Times New Roman"/>
          <w:b/>
          <w:sz w:val="28"/>
          <w:szCs w:val="28"/>
          <w:lang w:eastAsia="es-ES"/>
        </w:rPr>
      </w:pPr>
    </w:p>
    <w:p w14:paraId="2F0568EA" w14:textId="6D3EB46A" w:rsidR="00A445E8" w:rsidRPr="00462D1B" w:rsidRDefault="00A445E8" w:rsidP="006C6E3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162A62CF" w14:textId="571435D9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  <w:r w:rsidRPr="00655D24">
        <w:rPr>
          <w:b/>
          <w:bCs/>
          <w:sz w:val="24"/>
          <w:szCs w:val="24"/>
          <w:lang w:val="es-ES"/>
        </w:rPr>
        <w:t>DADO EN LA CASA MUNICIP</w:t>
      </w:r>
      <w:r w:rsidR="00EC58B4">
        <w:rPr>
          <w:b/>
          <w:bCs/>
          <w:sz w:val="24"/>
          <w:szCs w:val="24"/>
          <w:lang w:val="es-ES"/>
        </w:rPr>
        <w:t>AL DE LEÓN, GUANAJUATO EL DÍA 18 DE DICIEMBRE</w:t>
      </w:r>
      <w:r w:rsidRPr="00655D24">
        <w:rPr>
          <w:b/>
          <w:bCs/>
          <w:sz w:val="24"/>
          <w:szCs w:val="24"/>
          <w:lang w:val="es-ES"/>
        </w:rPr>
        <w:t xml:space="preserve"> DE 2023.</w:t>
      </w:r>
    </w:p>
    <w:p w14:paraId="731D585E" w14:textId="77777777" w:rsidR="00655D24" w:rsidRPr="00655D24" w:rsidRDefault="00655D24" w:rsidP="00655D24">
      <w:pPr>
        <w:spacing w:after="0" w:line="240" w:lineRule="auto"/>
        <w:ind w:left="0" w:right="24" w:firstLine="0"/>
        <w:rPr>
          <w:bCs/>
          <w:sz w:val="24"/>
          <w:szCs w:val="24"/>
          <w:lang w:val="es-ES"/>
        </w:rPr>
      </w:pPr>
    </w:p>
    <w:p w14:paraId="3CCF3491" w14:textId="77777777" w:rsidR="00655D24" w:rsidRDefault="00655D24" w:rsidP="00655D24">
      <w:pPr>
        <w:spacing w:after="0" w:line="240" w:lineRule="auto"/>
        <w:ind w:left="0" w:right="24" w:firstLine="0"/>
        <w:rPr>
          <w:bCs/>
          <w:sz w:val="24"/>
          <w:szCs w:val="24"/>
          <w:lang w:val="es-ES"/>
        </w:rPr>
      </w:pPr>
    </w:p>
    <w:p w14:paraId="0B69B80A" w14:textId="77777777" w:rsidR="00655D24" w:rsidRDefault="00655D24" w:rsidP="00655D24">
      <w:pPr>
        <w:spacing w:after="0" w:line="240" w:lineRule="auto"/>
        <w:ind w:left="0" w:right="24" w:firstLine="0"/>
        <w:rPr>
          <w:bCs/>
          <w:sz w:val="24"/>
          <w:szCs w:val="24"/>
          <w:lang w:val="es-ES"/>
        </w:rPr>
      </w:pPr>
    </w:p>
    <w:p w14:paraId="71C6075C" w14:textId="77777777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</w:p>
    <w:p w14:paraId="7420742B" w14:textId="77777777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  <w:r w:rsidRPr="00655D24">
        <w:rPr>
          <w:b/>
          <w:bCs/>
          <w:sz w:val="24"/>
          <w:szCs w:val="24"/>
          <w:lang w:val="es-ES"/>
        </w:rPr>
        <w:t xml:space="preserve">C. MTRA. ALEJANDRA GUTIÉRREZ CAMPOS </w:t>
      </w:r>
    </w:p>
    <w:p w14:paraId="1C157921" w14:textId="77777777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  <w:r w:rsidRPr="00655D24">
        <w:rPr>
          <w:b/>
          <w:bCs/>
          <w:sz w:val="24"/>
          <w:szCs w:val="24"/>
          <w:lang w:val="es-ES"/>
        </w:rPr>
        <w:t xml:space="preserve">PRESIDENTA MUNICIPAL </w:t>
      </w:r>
    </w:p>
    <w:p w14:paraId="7ED4A2DA" w14:textId="77777777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</w:p>
    <w:p w14:paraId="3E788A6B" w14:textId="77777777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</w:p>
    <w:p w14:paraId="463F8DE7" w14:textId="2917A6CA" w:rsidR="00655D24" w:rsidRPr="00655D24" w:rsidRDefault="00655D24" w:rsidP="00655D2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</w:p>
    <w:p w14:paraId="4F415AEE" w14:textId="199C2AB1" w:rsidR="00655D24" w:rsidRPr="00655D24" w:rsidRDefault="00655D24" w:rsidP="00EC58B4">
      <w:pPr>
        <w:spacing w:after="0" w:line="240" w:lineRule="auto"/>
        <w:ind w:left="0" w:right="24" w:firstLine="0"/>
        <w:rPr>
          <w:b/>
          <w:bCs/>
          <w:sz w:val="24"/>
          <w:szCs w:val="24"/>
          <w:lang w:val="es-ES"/>
        </w:rPr>
      </w:pPr>
    </w:p>
    <w:p w14:paraId="194A37E0" w14:textId="3D62A345" w:rsidR="00655D24" w:rsidRPr="00655D24" w:rsidRDefault="00655D24" w:rsidP="00655D24">
      <w:pPr>
        <w:spacing w:after="0" w:line="240" w:lineRule="auto"/>
        <w:ind w:left="0" w:right="24" w:firstLine="0"/>
        <w:jc w:val="right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C</w:t>
      </w:r>
      <w:r w:rsidR="00EC58B4">
        <w:rPr>
          <w:b/>
          <w:bCs/>
          <w:sz w:val="24"/>
          <w:szCs w:val="24"/>
          <w:lang w:val="es-ES"/>
        </w:rPr>
        <w:t>.</w:t>
      </w:r>
      <w:r>
        <w:rPr>
          <w:b/>
          <w:bCs/>
          <w:sz w:val="24"/>
          <w:szCs w:val="24"/>
          <w:lang w:val="es-ES"/>
        </w:rPr>
        <w:t xml:space="preserve"> MAESTRO JORGE DANIEL J</w:t>
      </w:r>
      <w:r w:rsidRPr="00655D24">
        <w:rPr>
          <w:b/>
          <w:bCs/>
          <w:sz w:val="24"/>
          <w:szCs w:val="24"/>
          <w:lang w:val="es-ES"/>
        </w:rPr>
        <w:t xml:space="preserve">MÉNEZ LONA </w:t>
      </w:r>
    </w:p>
    <w:p w14:paraId="02B864A0" w14:textId="0B6657CC" w:rsidR="00E1434B" w:rsidRDefault="00655D24" w:rsidP="00655D24">
      <w:pPr>
        <w:spacing w:after="0" w:line="240" w:lineRule="auto"/>
        <w:ind w:left="0" w:right="24" w:firstLine="0"/>
        <w:jc w:val="right"/>
        <w:rPr>
          <w:b/>
          <w:bCs/>
          <w:sz w:val="24"/>
          <w:szCs w:val="24"/>
          <w:lang w:val="es-ES"/>
        </w:rPr>
      </w:pPr>
      <w:r w:rsidRPr="00655D24">
        <w:rPr>
          <w:b/>
          <w:bCs/>
          <w:sz w:val="24"/>
          <w:szCs w:val="24"/>
          <w:lang w:val="es-ES"/>
        </w:rPr>
        <w:t xml:space="preserve">    </w:t>
      </w:r>
      <w:bookmarkStart w:id="0" w:name="_GoBack"/>
      <w:bookmarkEnd w:id="0"/>
      <w:r w:rsidRPr="00655D24">
        <w:rPr>
          <w:b/>
          <w:bCs/>
          <w:sz w:val="24"/>
          <w:szCs w:val="24"/>
          <w:lang w:val="es-ES"/>
        </w:rPr>
        <w:t xml:space="preserve">                                                </w:t>
      </w:r>
      <w:r>
        <w:rPr>
          <w:b/>
          <w:bCs/>
          <w:sz w:val="24"/>
          <w:szCs w:val="24"/>
          <w:lang w:val="es-ES"/>
        </w:rPr>
        <w:t xml:space="preserve">  SECRETARIO DEL H. AYUNTAMIENTO</w:t>
      </w:r>
    </w:p>
    <w:p w14:paraId="7042DA5D" w14:textId="4FC016E6" w:rsidR="003762F1" w:rsidRDefault="003762F1" w:rsidP="00655D24">
      <w:pPr>
        <w:spacing w:after="0" w:line="240" w:lineRule="auto"/>
        <w:ind w:left="0" w:right="24" w:firstLine="0"/>
        <w:jc w:val="right"/>
        <w:rPr>
          <w:b/>
          <w:bCs/>
          <w:sz w:val="24"/>
          <w:szCs w:val="24"/>
          <w:lang w:val="es-ES"/>
        </w:rPr>
      </w:pPr>
    </w:p>
    <w:p w14:paraId="45C230FE" w14:textId="77777777" w:rsidR="003762F1" w:rsidRPr="003762F1" w:rsidRDefault="003762F1" w:rsidP="003762F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kern w:val="0"/>
          <w:sz w:val="24"/>
          <w:szCs w:val="24"/>
          <w:lang w:eastAsia="en-US"/>
          <w14:ligatures w14:val="non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3762F1" w:rsidRPr="003762F1" w14:paraId="7DCC60D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212" w:type="dxa"/>
          </w:tcPr>
          <w:p w14:paraId="45DE576A" w14:textId="77777777" w:rsidR="003762F1" w:rsidRPr="003762F1" w:rsidRDefault="003762F1" w:rsidP="003762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i/>
                <w:kern w:val="0"/>
                <w:sz w:val="16"/>
                <w:szCs w:val="16"/>
                <w:lang w:eastAsia="en-US"/>
                <w14:ligatures w14:val="none"/>
              </w:rPr>
            </w:pPr>
            <w:r w:rsidRPr="003762F1">
              <w:rPr>
                <w:rFonts w:eastAsiaTheme="minorHAnsi"/>
                <w:b/>
                <w:i/>
                <w:kern w:val="0"/>
                <w:sz w:val="16"/>
                <w:szCs w:val="16"/>
                <w:lang w:eastAsia="en-US"/>
                <w14:ligatures w14:val="none"/>
              </w:rPr>
              <w:t xml:space="preserve"> Publicado en el Periódico Oficial del Gobierno del Estado de Guanajuato, número 257, segunda parte, de fecha 26 de diciembre de 2023. </w:t>
            </w:r>
          </w:p>
        </w:tc>
      </w:tr>
    </w:tbl>
    <w:p w14:paraId="173B4BCD" w14:textId="77777777" w:rsidR="003762F1" w:rsidRDefault="003762F1" w:rsidP="00655D24">
      <w:pPr>
        <w:spacing w:after="0" w:line="240" w:lineRule="auto"/>
        <w:ind w:left="0" w:right="24" w:firstLine="0"/>
        <w:jc w:val="right"/>
      </w:pPr>
    </w:p>
    <w:sectPr w:rsidR="003762F1" w:rsidSect="00EC58B4">
      <w:headerReference w:type="default" r:id="rId7"/>
      <w:pgSz w:w="11906" w:h="16838"/>
      <w:pgMar w:top="1701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61FB" w14:textId="77777777" w:rsidR="00335EE8" w:rsidRDefault="00335EE8" w:rsidP="003762F1">
      <w:pPr>
        <w:spacing w:after="0" w:line="240" w:lineRule="auto"/>
      </w:pPr>
      <w:r>
        <w:separator/>
      </w:r>
    </w:p>
  </w:endnote>
  <w:endnote w:type="continuationSeparator" w:id="0">
    <w:p w14:paraId="63A37A4D" w14:textId="77777777" w:rsidR="00335EE8" w:rsidRDefault="00335EE8" w:rsidP="0037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DAD9" w14:textId="77777777" w:rsidR="00335EE8" w:rsidRDefault="00335EE8" w:rsidP="003762F1">
      <w:pPr>
        <w:spacing w:after="0" w:line="240" w:lineRule="auto"/>
      </w:pPr>
      <w:r>
        <w:separator/>
      </w:r>
    </w:p>
  </w:footnote>
  <w:footnote w:type="continuationSeparator" w:id="0">
    <w:p w14:paraId="186EF070" w14:textId="77777777" w:rsidR="00335EE8" w:rsidRDefault="00335EE8" w:rsidP="0037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18E5" w14:textId="6E1D8C8E" w:rsidR="003762F1" w:rsidRPr="00041CE4" w:rsidRDefault="003762F1" w:rsidP="003762F1">
    <w:pPr>
      <w:tabs>
        <w:tab w:val="center" w:pos="4419"/>
        <w:tab w:val="right" w:pos="8838"/>
      </w:tabs>
      <w:spacing w:after="0" w:line="240" w:lineRule="exact"/>
      <w:ind w:left="425" w:hanging="284"/>
    </w:pPr>
    <w:r w:rsidRPr="00041CE4">
      <w:rPr>
        <w:noProof/>
      </w:rPr>
      <w:drawing>
        <wp:anchor distT="0" distB="0" distL="114300" distR="114300" simplePos="0" relativeHeight="251659264" behindDoc="0" locked="0" layoutInCell="1" allowOverlap="1" wp14:anchorId="3008A61C" wp14:editId="56D96001">
          <wp:simplePos x="0" y="0"/>
          <wp:positionH relativeFrom="margin">
            <wp:posOffset>-121285</wp:posOffset>
          </wp:positionH>
          <wp:positionV relativeFrom="paragraph">
            <wp:posOffset>-180975</wp:posOffset>
          </wp:positionV>
          <wp:extent cx="371475" cy="587375"/>
          <wp:effectExtent l="0" t="0" r="952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3" t="8948" b="16791"/>
                  <a:stretch/>
                </pic:blipFill>
                <pic:spPr bwMode="auto">
                  <a:xfrm>
                    <a:off x="0" y="0"/>
                    <a:ext cx="371475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A8C3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17627" o:spid="_x0000_s2049" type="#_x0000_t75" style="position:absolute;left:0;text-align:left;margin-left:0;margin-top:0;width:424.95pt;height:671.15pt;z-index:-251656192;mso-position-horizontal:center;mso-position-horizontal-relative:margin;mso-position-vertical:center;mso-position-vertical-relative:margin" o:allowincell="f">
          <v:imagedata r:id="rId2" o:title="escudo"/>
          <w10:wrap anchorx="margin" anchory="margin"/>
        </v:shape>
      </w:pict>
    </w:r>
    <w:r w:rsidRPr="00041CE4">
      <w:rPr>
        <w:b/>
        <w:bCs/>
        <w:color w:val="1F2C4E"/>
      </w:rPr>
      <w:t>Presidencia Municipal de León</w:t>
    </w:r>
    <w:r w:rsidRPr="00041CE4">
      <w:tab/>
    </w:r>
    <w:r w:rsidRPr="00041CE4">
      <w:rPr>
        <w:color w:val="123A65"/>
      </w:rPr>
      <w:tab/>
    </w:r>
    <w:r w:rsidRPr="00041CE4">
      <w:rPr>
        <w:b/>
        <w:bCs/>
        <w:color w:val="1F2C4E"/>
        <w:sz w:val="18"/>
        <w:szCs w:val="18"/>
      </w:rPr>
      <w:t>Publicación</w:t>
    </w:r>
    <w:r w:rsidRPr="00041CE4">
      <w:rPr>
        <w:b/>
        <w:bCs/>
        <w:color w:val="123A65"/>
        <w:sz w:val="18"/>
        <w:szCs w:val="18"/>
      </w:rPr>
      <w:t xml:space="preserve">: </w:t>
    </w:r>
    <w:r w:rsidRPr="00041CE4">
      <w:rPr>
        <w:sz w:val="18"/>
        <w:szCs w:val="18"/>
      </w:rPr>
      <w:t>P.O.</w:t>
    </w:r>
    <w:r w:rsidRPr="00041CE4">
      <w:rPr>
        <w:color w:val="123A65"/>
        <w:sz w:val="18"/>
        <w:szCs w:val="18"/>
      </w:rPr>
      <w:t xml:space="preserve"> </w:t>
    </w:r>
    <w:r>
      <w:rPr>
        <w:sz w:val="18"/>
        <w:szCs w:val="18"/>
      </w:rPr>
      <w:t>26</w:t>
    </w:r>
    <w:r w:rsidRPr="00041CE4">
      <w:rPr>
        <w:sz w:val="18"/>
        <w:szCs w:val="18"/>
      </w:rPr>
      <w:t xml:space="preserve"> de </w:t>
    </w:r>
    <w:r>
      <w:rPr>
        <w:sz w:val="18"/>
        <w:szCs w:val="18"/>
      </w:rPr>
      <w:t>diciembre</w:t>
    </w:r>
    <w:r w:rsidRPr="00041CE4">
      <w:rPr>
        <w:sz w:val="18"/>
        <w:szCs w:val="18"/>
      </w:rPr>
      <w:t xml:space="preserve"> </w:t>
    </w:r>
    <w:r>
      <w:rPr>
        <w:sz w:val="18"/>
        <w:szCs w:val="18"/>
      </w:rPr>
      <w:t>de 2023.</w:t>
    </w:r>
  </w:p>
  <w:p w14:paraId="51EDEF78" w14:textId="331065F5" w:rsidR="003762F1" w:rsidRPr="00041CE4" w:rsidRDefault="003762F1" w:rsidP="003762F1">
    <w:pPr>
      <w:tabs>
        <w:tab w:val="center" w:pos="4419"/>
        <w:tab w:val="right" w:pos="8838"/>
      </w:tabs>
      <w:spacing w:line="240" w:lineRule="exact"/>
      <w:ind w:left="284"/>
      <w:rPr>
        <w:sz w:val="10"/>
        <w:szCs w:val="10"/>
      </w:rPr>
    </w:pPr>
    <w:r w:rsidRPr="00041CE4">
      <w:rPr>
        <w:sz w:val="8"/>
        <w:szCs w:val="8"/>
      </w:rPr>
      <w:t xml:space="preserve"> </w:t>
    </w:r>
    <w:r w:rsidRPr="00041CE4">
      <w:rPr>
        <w:sz w:val="10"/>
        <w:szCs w:val="10"/>
      </w:rPr>
      <w:t>Límites y montos máximos para los procedimientos de asignación de los contratos de adquisiciones, arrendamientos, y contratación de servicios aplicabl</w:t>
    </w:r>
    <w:r>
      <w:rPr>
        <w:sz w:val="10"/>
        <w:szCs w:val="10"/>
      </w:rPr>
      <w:t>es para el ejercicio fiscal 2024</w:t>
    </w:r>
  </w:p>
  <w:p w14:paraId="28D3683A" w14:textId="77777777" w:rsidR="003762F1" w:rsidRDefault="00376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C5E"/>
    <w:multiLevelType w:val="hybridMultilevel"/>
    <w:tmpl w:val="D45A038A"/>
    <w:lvl w:ilvl="0" w:tplc="9F784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31"/>
    <w:rsid w:val="0031635F"/>
    <w:rsid w:val="00335EE8"/>
    <w:rsid w:val="003762F1"/>
    <w:rsid w:val="003F6ECB"/>
    <w:rsid w:val="004C4BE4"/>
    <w:rsid w:val="00553098"/>
    <w:rsid w:val="005E53C1"/>
    <w:rsid w:val="00603000"/>
    <w:rsid w:val="00655D24"/>
    <w:rsid w:val="006C6E31"/>
    <w:rsid w:val="00857F4D"/>
    <w:rsid w:val="008B7BA5"/>
    <w:rsid w:val="009E7AD8"/>
    <w:rsid w:val="00A445E8"/>
    <w:rsid w:val="00C66158"/>
    <w:rsid w:val="00E1434B"/>
    <w:rsid w:val="00E5622C"/>
    <w:rsid w:val="00E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BD9316"/>
  <w15:chartTrackingRefBased/>
  <w15:docId w15:val="{1784CDB0-34D1-8C47-9CD4-89A0D7F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31"/>
    <w:pPr>
      <w:spacing w:after="5" w:line="249" w:lineRule="auto"/>
      <w:ind w:left="10" w:right="58" w:hanging="10"/>
      <w:jc w:val="both"/>
    </w:pPr>
    <w:rPr>
      <w:rFonts w:ascii="Arial" w:eastAsia="Arial" w:hAnsi="Arial" w:cs="Arial"/>
      <w:color w:val="000000"/>
      <w:kern w:val="2"/>
      <w:sz w:val="22"/>
      <w:szCs w:val="22"/>
      <w:lang w:eastAsia="es-MX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D24"/>
    <w:rPr>
      <w:rFonts w:ascii="Segoe UI" w:eastAsia="Arial" w:hAnsi="Segoe UI" w:cs="Segoe UI"/>
      <w:color w:val="000000"/>
      <w:kern w:val="2"/>
      <w:sz w:val="18"/>
      <w:szCs w:val="18"/>
      <w:lang w:eastAsia="es-MX"/>
      <w14:ligatures w14:val="standardContextual"/>
    </w:rPr>
  </w:style>
  <w:style w:type="paragraph" w:styleId="Encabezado">
    <w:name w:val="header"/>
    <w:basedOn w:val="Normal"/>
    <w:link w:val="EncabezadoCar"/>
    <w:uiPriority w:val="99"/>
    <w:unhideWhenUsed/>
    <w:rsid w:val="0037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F1"/>
    <w:rPr>
      <w:rFonts w:ascii="Arial" w:eastAsia="Arial" w:hAnsi="Arial" w:cs="Arial"/>
      <w:color w:val="000000"/>
      <w:kern w:val="2"/>
      <w:sz w:val="22"/>
      <w:szCs w:val="22"/>
      <w:lang w:eastAsia="es-MX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37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F1"/>
    <w:rPr>
      <w:rFonts w:ascii="Arial" w:eastAsia="Arial" w:hAnsi="Arial" w:cs="Arial"/>
      <w:color w:val="000000"/>
      <w:kern w:val="2"/>
      <w:sz w:val="22"/>
      <w:szCs w:val="22"/>
      <w:lang w:eastAsia="es-MX"/>
      <w14:ligatures w14:val="standardContextual"/>
    </w:rPr>
  </w:style>
  <w:style w:type="paragraph" w:customStyle="1" w:styleId="Default">
    <w:name w:val="Default"/>
    <w:rsid w:val="003762F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Vázquez Cisneros</dc:creator>
  <cp:keywords/>
  <dc:description/>
  <cp:lastModifiedBy>Erendira Aguado Moreno</cp:lastModifiedBy>
  <cp:revision>3</cp:revision>
  <cp:lastPrinted>2023-11-27T14:55:00Z</cp:lastPrinted>
  <dcterms:created xsi:type="dcterms:W3CDTF">2023-12-13T21:46:00Z</dcterms:created>
  <dcterms:modified xsi:type="dcterms:W3CDTF">2024-01-02T03:45:00Z</dcterms:modified>
</cp:coreProperties>
</file>